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75" w:rsidRDefault="00B87675" w:rsidP="00B87675">
      <w:pPr>
        <w:pStyle w:val="NoParagraphStyle"/>
        <w:spacing w:before="113" w:after="57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П О Л О Ж Е Н И Е </w:t>
      </w:r>
    </w:p>
    <w:p w:rsidR="00B87675" w:rsidRPr="00B87675" w:rsidRDefault="00B87675" w:rsidP="00B87675">
      <w:pPr>
        <w:pStyle w:val="NoParagraphStyle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caps/>
          <w:sz w:val="30"/>
          <w:szCs w:val="30"/>
          <w:lang w:val="ru-RU"/>
        </w:rPr>
        <w:t xml:space="preserve"> о  Национальной  премии  имени  Х.С.  Леденцова</w:t>
      </w:r>
    </w:p>
    <w:p w:rsidR="00B87675" w:rsidRPr="00B87675" w:rsidRDefault="00B87675" w:rsidP="00B87675">
      <w:pPr>
        <w:pStyle w:val="NoParagraphStyle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(Всероссийский Конкурс фондосопряжённого, инновационно-венчурного инвестирования — возрождения метода Х.С. Леденцова)</w:t>
      </w:r>
    </w:p>
    <w:p w:rsidR="00B87675" w:rsidRDefault="00B87675" w:rsidP="00B87675">
      <w:pPr>
        <w:pStyle w:val="NoParagraphStyle"/>
        <w:ind w:firstLine="22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Национальная премия имени Х.С. Леденцова (Всероссийский Конкурс фондосопряжённого, инновационно-венчурного инвестирования — возрождения метода Х.С. Леденцова) учреждена и проводится Общероссийской общественной организацией Молодёжный союз экономистов и финансистов Российской Федерации и Обществом содействия успехам опытных наук и их практических применений имени Х.С. Леденцова. </w:t>
      </w:r>
    </w:p>
    <w:p w:rsidR="00B87675" w:rsidRPr="00B87675" w:rsidRDefault="00B87675" w:rsidP="00B87675">
      <w:pPr>
        <w:pStyle w:val="NoParagraphStyle"/>
        <w:ind w:firstLine="22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Настоящее Положение определяет условия проведения Конкурса, требования к работам и разработкам, порядок их представления на Конкурс, критерии отбора и порядок награждения победителей.</w:t>
      </w:r>
    </w:p>
    <w:p w:rsidR="00B87675" w:rsidRPr="00B87675" w:rsidRDefault="00B87675" w:rsidP="00B87675">
      <w:pPr>
        <w:pStyle w:val="NoParagraphStyle"/>
        <w:spacing w:before="113"/>
        <w:ind w:left="5953"/>
        <w:rPr>
          <w:sz w:val="20"/>
          <w:szCs w:val="20"/>
          <w:lang w:val="ru-RU"/>
        </w:rPr>
      </w:pPr>
      <w:r w:rsidRPr="00B87675">
        <w:rPr>
          <w:b/>
          <w:bCs/>
          <w:sz w:val="20"/>
          <w:szCs w:val="20"/>
          <w:lang w:val="ru-RU"/>
        </w:rPr>
        <w:t>ДЕВИЗ КОНКУРСА:</w:t>
      </w:r>
    </w:p>
    <w:p w:rsidR="00B87675" w:rsidRPr="00B87675" w:rsidRDefault="00B87675" w:rsidP="00B87675">
      <w:pPr>
        <w:pStyle w:val="NoParagraphStyle"/>
        <w:ind w:left="5953"/>
        <w:rPr>
          <w:sz w:val="20"/>
          <w:szCs w:val="20"/>
          <w:lang w:val="ru-RU"/>
        </w:rPr>
      </w:pPr>
      <w:r w:rsidRPr="00B87675">
        <w:rPr>
          <w:i/>
          <w:iCs/>
          <w:sz w:val="20"/>
          <w:szCs w:val="20"/>
          <w:lang w:val="ru-RU"/>
        </w:rPr>
        <w:t>Наука-Труд-Любовь-Довольство</w:t>
      </w:r>
    </w:p>
    <w:p w:rsidR="00B87675" w:rsidRDefault="00B87675" w:rsidP="00B87675">
      <w:pPr>
        <w:pStyle w:val="NoParagraphStyle"/>
        <w:spacing w:before="57"/>
        <w:ind w:firstLine="283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1.</w:t>
      </w:r>
      <w:r>
        <w:rPr>
          <w:b/>
          <w:bCs/>
          <w:sz w:val="20"/>
          <w:szCs w:val="20"/>
          <w:lang w:val="ru-RU"/>
        </w:rPr>
        <w:tab/>
        <w:t>ЗАДАЧИ КОНКУРСА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pacing w:val="-5"/>
          <w:sz w:val="20"/>
          <w:szCs w:val="20"/>
          <w:lang w:val="ru-RU"/>
        </w:rPr>
        <w:t>1.1. Развитие молодёжного предпринимательства на основе инновационного и интеллектуального подхода;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1.2. Снижение уровня безработицы среди молодёжи;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1.3. Повышение конкурентоспособности молодёжи на рынке труда;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1.4. Развитие малого предпринимательства в России с инновационными и интеллектуальными разработками;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1.5. Создание предприятий и фирм на основе фондосопряжённого, инновационно-венчурного метода Х.С. Леденцова;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1.6. Выявление и внедрение стратегических и прорывных идей и проектов, представляющих большой интерес и значимость для Народного хозяйства России. 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1.7. Содействие научным открытиям, исследованиям, изобретениям и усовершенствованиям в сферах Жизнедеятельности Человечества.</w:t>
      </w:r>
    </w:p>
    <w:p w:rsidR="00B87675" w:rsidRDefault="00B87675" w:rsidP="00B87675">
      <w:pPr>
        <w:pStyle w:val="NoParagraphStyle"/>
        <w:spacing w:before="57"/>
        <w:ind w:firstLine="283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2.</w:t>
      </w:r>
      <w:r>
        <w:rPr>
          <w:b/>
          <w:bCs/>
          <w:sz w:val="20"/>
          <w:szCs w:val="20"/>
          <w:lang w:val="ru-RU"/>
        </w:rPr>
        <w:tab/>
        <w:t>ЦЕЛИ ПРОВЕДЕНИЯ КОНКУРСА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2.1. Поддержать научное творчество молодёжи с применением их знаний на практике и оказать моральную и материальную поддержку, помочь воспитанию нового поколения экономистов и финансистов, инноваторов, изобретателей и рационализаторов — Будущего России. 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2.2. Привлечь общественное внимание к проблемам сохранения и развития интеллектуального потенциала России.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2.3. Привлечь государственное и общественное внимание к проблемам сохранения и развития интеллектуального потенциала России.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2.4. Организовать продуктивное научно-теоретическое и научно-практическое общение между студентами, аспирантами экономических и финансовых специальностей, молодыми специалистами, инноваторами, изобретателями и предпринимателями.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2.5. Стимулировать качественный и количественный рост научно-исследовательской и творческой деятельности студентов, аспирантов, инноваторов, изобретателей, молодых специалистов, учёных, практиков и предпринимателей.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2.6. Выявить состояние основных направлений и уровень научных изысканий студентов, аспирантов, инноваторов, изобретателей и предпринимателей.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2.7. Содействовать формированию деловой и инновационной внедренческой культуры в России.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2.8. Формировать новые механизмы реализации и внедрения идей и проектов одарёнными и талантливыми инноваторами, изобретателями, учёными и предпринимателями во благо Будущего России.</w:t>
      </w:r>
    </w:p>
    <w:p w:rsidR="00B87675" w:rsidRDefault="00B87675" w:rsidP="00B87675">
      <w:pPr>
        <w:pStyle w:val="NoParagraphStyle"/>
        <w:spacing w:before="57"/>
        <w:ind w:firstLine="283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3.</w:t>
      </w:r>
      <w:r>
        <w:rPr>
          <w:b/>
          <w:bCs/>
          <w:sz w:val="20"/>
          <w:szCs w:val="20"/>
          <w:lang w:val="ru-RU"/>
        </w:rPr>
        <w:tab/>
        <w:t>НОМИНАЦИИ КОНКУРСА</w:t>
      </w:r>
    </w:p>
    <w:p w:rsidR="00B87675" w:rsidRDefault="00B87675" w:rsidP="00B87675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3.1.</w:t>
      </w:r>
      <w:r>
        <w:rPr>
          <w:spacing w:val="-2"/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Номинации Конкурса представлены в Приложении 1.</w:t>
      </w:r>
    </w:p>
    <w:p w:rsidR="00B87675" w:rsidRDefault="00B87675" w:rsidP="00B87675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3.2. К каждой работе предусмотрен индивидуальный подход, поэтому не исключается возможность написания работ и по другим номинациям, которые формулируются на усмотрение автора. </w:t>
      </w:r>
    </w:p>
    <w:p w:rsidR="00B87675" w:rsidRDefault="00B87675" w:rsidP="00B87675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3.3. Возможно учреждение специальных номинаций спонсорами Конкурса, а также федеральными и региональными инвесторами и партнёрами.</w:t>
      </w:r>
    </w:p>
    <w:p w:rsidR="00B87675" w:rsidRDefault="00B87675" w:rsidP="00B87675">
      <w:pPr>
        <w:pStyle w:val="NoParagraphStyle"/>
        <w:spacing w:before="57"/>
        <w:ind w:firstLine="283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4.</w:t>
      </w:r>
      <w:r>
        <w:rPr>
          <w:b/>
          <w:bCs/>
          <w:sz w:val="20"/>
          <w:szCs w:val="20"/>
          <w:lang w:val="ru-RU"/>
        </w:rPr>
        <w:tab/>
        <w:t>ПОДГОТОВКА КОНКУРСНОЙ РАБОТЫ И ОТПРАВКА ЕЁ В ОРГКОМИТЕТ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 Структура Конкурсной работы.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4.1.1. Конкурсная работа включает в себя: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4.1.1.1. Резюме;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4.1.1.2. Проектируемый продукт или вид услуг;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4.1.1.3. Оценка рынка сбыта;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4.1.1.4. Конкуренция;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4.1.1.5. Стратегия маркетинга;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4.1.1.6. План производства;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4.1.1.7. Организационный план;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4.1.1.8. Юридический план;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4.1.1.9. Оценка риска и страхование;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4.1.1.10. Финансовый план;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4.1.1.11. Стратегия финансирования.</w:t>
      </w:r>
    </w:p>
    <w:p w:rsidR="00B87675" w:rsidRDefault="00B87675" w:rsidP="00B87675">
      <w:pPr>
        <w:pStyle w:val="NoParagraphStyle"/>
        <w:ind w:firstLine="283"/>
        <w:jc w:val="both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4.1.2. Конкурсная работа не исключает финансовый план.</w:t>
      </w:r>
    </w:p>
    <w:p w:rsidR="00B87675" w:rsidRDefault="00B87675" w:rsidP="00B87675">
      <w:pPr>
        <w:pStyle w:val="NoParagraphStyle"/>
        <w:ind w:firstLine="283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 xml:space="preserve">4.1.3. Также на Конкурс принимаются деловой (бизнес)-план, инвестиционные соглашения, технико-экономическое обоснование идей и проектов. 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 Требования к оформлению конкурсной работы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pacing w:val="-1"/>
          <w:sz w:val="20"/>
          <w:szCs w:val="20"/>
          <w:lang w:val="ru-RU"/>
        </w:rPr>
        <w:t>4.2.1. Титульный лист конкурсной работы оформляется в соответствии со следующими требованиями: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4.2.1.1. Ф.И.О. автора (ов);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4.2.1.2. Наименование учреждения (места работы);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4.2.1.3. Сведения о научном (практическом) руководителе (Ф.И.О., степень, звание, должность).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4.2.2. План, основной текст, списки оформляются по следующим правилам: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4.2.2.1. Лист формата А4. Текст печатается с одной стороны листа.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4.2.2.2. Шрифт текста — «Тimes».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4.2.2.3. Размер шрифта — 12. 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4.2.2.4. Межстрочный интервал — 1,5.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4.2.2.5. Поля: верхнее — 1,5 см.; нижнее — 2,5 см., левое — 2,5 см.; правое — 1,5 см.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4.2.2.6. Вверху на каждой странице указывается колонтитул «Всероссийский Конкурс фондосопряжённого, инновационно-венчурного инвестирования».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4.2.2.7. Страницы нумеруются по порядку арабскими цифрами. Номера страниц проставляются в правом нижнем углу страницы. 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4.2.3. Приложения, в том числе таблицы, дополнительные материалы и др. оформляются в произвольной форме — удобной для понимания и усвоения информации.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4.2.3.1. Приложения нумеруются в порядке, удобном для их использования.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4.2.4. Все материалы конкурсной работы, подлежащие отправке в Оргкомитет Олимпиады, помещаются в папку-скоросшиватель или брошюруются другим способом, доступным участнику Олимпиады.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4.2.4.1. В случае невозможности брошюрования отдельных материалов, они прилагаются к конкурсной работе и маркируются.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 Отправка конкурсной работы в Оргкомитет.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4.3.1. Отправка конкурсной работы осуществляется по почте заказным письмом (ценной бандеролью) с уведомлением о вручении. Наличие электронной версии на дискете или диске в приложении к работе обязательно.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4.3.2. Последний срок отправки конкурсной работы по почте — 31 декабря текущего года.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4.3.3. Отправка конкурсной работы может быть продублирована по электронной почте.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 Документальное сопровождение.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4.4.1. Для участия в конкурсе необходимо официальное направление представляющей организации (на бланке), подписанное одним из руководителей и заверенное печатью, в котором указываются: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4.4.1.1. Наименование избранной темы (делового проекта (идеи)). Оно должно соответствовать названию работы, указанному на титульном листе.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4.4.1.2. Данные об авторе (авторах).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4.4.1.2.1. Фамилия, имя, отчество полностью;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4.4.1.2.2. Деятель науки, предприниматель, изобретатель, аспирант, студент какого вуза, факультета, кафедры, курса; 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4.4.1.2.3. Дата и место рождения;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4.4.1.2.4. Полный почтовый адрес (с индексом) автора конкурсной работы;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4.4.1.2.5. Номер домашнего телефона с указанием кода междугородней телефонной связи, факс, e-mail (при наличии);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pacing w:val="-4"/>
          <w:sz w:val="20"/>
          <w:szCs w:val="20"/>
          <w:lang w:val="ru-RU"/>
        </w:rPr>
        <w:t>4.4.1.3. Кто рекомендует данную работу для участия в Конкурсе (кафедра, лаборатория, аспирантура и т.д.).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4.4.1.4. Полный почтовый адрес (с индексом) учебного заведения, контактные телефоны, номера факсов с указанием кода междугородней телефонной связи. Дополнительная информация, которую Вы хотите поместить в Банк данных.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4.5. К рассмотрению принимаются конкурсные работы без ограничения срока издания при условии обладания автором (авторами) исключительных прав на реализацию предоставляемых на Конкурс произведений. 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4.6. Всем конкурсным работам, поступившим на Конкурс, присваиваются регистрационные номера; все работы рецензируются по критериям: реалистичность, стратегичность, конкурентоспособность, новизна, Народно-хозяйственная значимость для деревни, города, области, региона, России в целом. </w:t>
      </w:r>
    </w:p>
    <w:p w:rsidR="00B87675" w:rsidRDefault="00B87675" w:rsidP="00B87675">
      <w:pPr>
        <w:pStyle w:val="NoParagraphStyle"/>
        <w:spacing w:before="57"/>
        <w:ind w:firstLine="283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5.</w:t>
      </w:r>
      <w:r>
        <w:rPr>
          <w:b/>
          <w:bCs/>
          <w:sz w:val="20"/>
          <w:szCs w:val="20"/>
          <w:lang w:val="ru-RU"/>
        </w:rPr>
        <w:tab/>
        <w:t>УЧАСТНИКИ КОНКУРСА</w:t>
      </w:r>
      <w:r>
        <w:rPr>
          <w:sz w:val="20"/>
          <w:szCs w:val="20"/>
          <w:lang w:val="ru-RU"/>
        </w:rPr>
        <w:t xml:space="preserve"> 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5.1. В Конкурсе принимают участие студенты высших, средне-специальных учебных заведений Российской Федерации, а также научные сотрудники, аспиранты высших учебных заведений, изобретатели, предприниматели малого и среднего бизнеса. Конкурс не устанавливает ограничений по возрасту, гражданству и месту жительства. </w:t>
      </w:r>
    </w:p>
    <w:p w:rsidR="00B87675" w:rsidRDefault="00B87675" w:rsidP="00B87675">
      <w:pPr>
        <w:pStyle w:val="NoParagraphStyle"/>
        <w:spacing w:before="57"/>
        <w:ind w:firstLine="283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6.</w:t>
      </w:r>
      <w:r>
        <w:rPr>
          <w:b/>
          <w:bCs/>
          <w:sz w:val="20"/>
          <w:szCs w:val="20"/>
          <w:lang w:val="ru-RU"/>
        </w:rPr>
        <w:tab/>
        <w:t>ОЦЕНКА КОНКУРСНЫХ РАБОТ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6.1. Оценка конкурсных работ осуществляется Конкурсными комиссиями Конкурса . 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6.1.1. Конкурсная комиссия создаётся из организаторов Конкурса и представителей компаний и организаций, которые внесли вклад в призовой фонд, либо профинансировали текущие расходы для проведения Конкурса.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6.1.2. Конкурсная комиссия может приглашать для экспертизы проектов экспертов из компаний работающих в той же сфере, на развитие которой направлен проект (идея).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6.2. Конкурсные комиссии по своему усмотрению посредством Оргкомитета могут вступить во взаимоотношения с автором конкурсной работы.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6.3. Итоги работы конкурсных комиссий — оценки конкурсных работ — доводятся до сведения всех участников Конкурса.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6.4. Внимание: конкурсные работы, не соответствующие условиям Конкурса, конкурсной комиссией не рассматриваются. Конкурсные работы не рецензируются и не возвращаются. Апелляции по итогам конкурса не принимаются.</w:t>
      </w:r>
    </w:p>
    <w:p w:rsidR="00B87675" w:rsidRDefault="00B87675" w:rsidP="00B87675">
      <w:pPr>
        <w:pStyle w:val="NoParagraphStyle"/>
        <w:spacing w:before="57"/>
        <w:ind w:firstLine="283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7.</w:t>
      </w:r>
      <w:r>
        <w:rPr>
          <w:b/>
          <w:bCs/>
          <w:sz w:val="20"/>
          <w:szCs w:val="20"/>
          <w:lang w:val="ru-RU"/>
        </w:rPr>
        <w:tab/>
        <w:t>ИТОГОВЫЕ МЕРОПРИЯТИЯ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7.1. Победители награждаются медалями, дипломами, призами и памятными подарками. 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7.2. Предусмотрены поощрительные призы за оригинальность авторского подхода.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7.3. Возможно учреждение специальных номинаций генеральным спонсором Конкурса, а также федеральными и региональными инвесторами.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7.4. Возможно установление механизма реализации лучших идей и проектов на условиях, оговоренных в инвестиционном соглашении. </w:t>
      </w:r>
    </w:p>
    <w:p w:rsidR="00B87675" w:rsidRDefault="00B87675" w:rsidP="00B87675">
      <w:pPr>
        <w:pStyle w:val="NoParagraphStyle"/>
        <w:spacing w:before="57"/>
        <w:ind w:firstLine="283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8.</w:t>
      </w:r>
      <w:r>
        <w:rPr>
          <w:b/>
          <w:bCs/>
          <w:sz w:val="20"/>
          <w:szCs w:val="20"/>
          <w:lang w:val="ru-RU"/>
        </w:rPr>
        <w:tab/>
        <w:t>СРОКИ ПРОВЕДЕНИЯ КОНКУРСА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8.1. Начало Конкурса — 1 мая текущего года.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8.2. Последний срок приёма работ на Конкурс — 31 декабря текущего года (с учётом даты отправки </w:t>
      </w:r>
      <w:r>
        <w:rPr>
          <w:sz w:val="20"/>
          <w:szCs w:val="20"/>
          <w:lang w:val="ru-RU"/>
        </w:rPr>
        <w:br/>
        <w:t xml:space="preserve">по почте). </w:t>
      </w:r>
    </w:p>
    <w:p w:rsidR="00B87675" w:rsidRDefault="00B87675" w:rsidP="00B87675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8.3. Итоговые мероприятия по объявлению победителей и торжественная церемония награждения</w:t>
      </w:r>
      <w:r>
        <w:rPr>
          <w:sz w:val="20"/>
          <w:szCs w:val="20"/>
          <w:lang w:val="ru-RU"/>
        </w:rPr>
        <w:t> </w:t>
      </w:r>
      <w:r>
        <w:rPr>
          <w:sz w:val="20"/>
          <w:szCs w:val="20"/>
          <w:lang w:val="ru-RU"/>
        </w:rPr>
        <w:t xml:space="preserve">— апрель–май последующего года. </w:t>
      </w:r>
    </w:p>
    <w:p w:rsidR="00B87675" w:rsidRDefault="00B87675" w:rsidP="00B87675">
      <w:pPr>
        <w:pStyle w:val="NoParagraphStyle"/>
        <w:spacing w:before="57"/>
        <w:ind w:firstLine="283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9.</w:t>
      </w:r>
      <w:r>
        <w:rPr>
          <w:b/>
          <w:bCs/>
          <w:sz w:val="20"/>
          <w:szCs w:val="20"/>
          <w:lang w:val="ru-RU"/>
        </w:rPr>
        <w:tab/>
        <w:t>РАЗВИТИЕ ИЛИ РЕАЛИЗАЦИЯ ИССЛЕДОВАНИЙ И РЕЗУЛЬТАТОВ (ПРЕДЛОЖЕНИЙ) КОНКУРСНОЙ РАБОТЫ</w:t>
      </w:r>
    </w:p>
    <w:p w:rsidR="00B87675" w:rsidRDefault="00B87675" w:rsidP="00B87675">
      <w:pPr>
        <w:pStyle w:val="NoParagraphStyle"/>
        <w:ind w:firstLine="283"/>
        <w:jc w:val="both"/>
        <w:rPr>
          <w:sz w:val="18"/>
          <w:szCs w:val="18"/>
          <w:lang w:val="ru-RU"/>
        </w:rPr>
      </w:pPr>
      <w:r>
        <w:rPr>
          <w:sz w:val="20"/>
          <w:szCs w:val="20"/>
          <w:lang w:val="ru-RU"/>
        </w:rPr>
        <w:t>9.1. Дальнейшее сотрудничество участников и победителей Конкурса возможно в рамках научно-практической, научно-исследовательской и организационной деятельности подразделений Центрального аппарата МСЭФ РФ, региональных подразделений МСЭФ РФ, обособленных подразделений и партнёров МСЭФ РФ.</w:t>
      </w:r>
    </w:p>
    <w:p w:rsidR="00B87675" w:rsidRDefault="00B87675" w:rsidP="00B87675">
      <w:pPr>
        <w:pStyle w:val="NoParagraphStyle"/>
        <w:spacing w:before="57"/>
        <w:ind w:firstLine="283"/>
        <w:jc w:val="both"/>
        <w:rPr>
          <w:sz w:val="18"/>
          <w:szCs w:val="18"/>
          <w:lang w:val="ru-RU"/>
        </w:rPr>
      </w:pPr>
      <w:r>
        <w:rPr>
          <w:b/>
          <w:bCs/>
          <w:sz w:val="20"/>
          <w:szCs w:val="20"/>
          <w:lang w:val="ru-RU"/>
        </w:rPr>
        <w:t>10.</w:t>
      </w:r>
      <w:r>
        <w:rPr>
          <w:b/>
          <w:bCs/>
          <w:sz w:val="20"/>
          <w:szCs w:val="20"/>
          <w:lang w:val="ru-RU"/>
        </w:rPr>
        <w:tab/>
        <w:t>АДРЕС И РЕКВИЗИТЫ ОРГКОМИТЕТА КОНКУРСА</w:t>
      </w:r>
    </w:p>
    <w:p w:rsidR="00B87675" w:rsidRDefault="00B87675" w:rsidP="00B87675">
      <w:pPr>
        <w:pStyle w:val="NoParagraphStyle"/>
        <w:ind w:firstLine="283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129301, г. Москва, ул. Космонавтов, д. 18, корп. 1</w:t>
      </w:r>
    </w:p>
    <w:p w:rsidR="00B87675" w:rsidRDefault="00B87675" w:rsidP="00B87675">
      <w:pPr>
        <w:pStyle w:val="NoParagraphStyle"/>
        <w:ind w:firstLine="283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тел. (495) 971-88-79; моб. 8-926-224-5711; 8-985-421-88-79</w:t>
      </w:r>
    </w:p>
    <w:p w:rsidR="0074782B" w:rsidRDefault="00B87675" w:rsidP="00B87675">
      <w:r>
        <w:rPr>
          <w:b/>
          <w:bCs/>
          <w:sz w:val="20"/>
          <w:szCs w:val="20"/>
        </w:rPr>
        <w:t>http://www.msef.ru</w:t>
      </w:r>
      <w:r>
        <w:rPr>
          <w:b/>
          <w:bCs/>
          <w:sz w:val="20"/>
          <w:szCs w:val="20"/>
        </w:rPr>
        <w:tab/>
        <w:t>http://www.olimp-msef.ru</w:t>
      </w:r>
      <w:r>
        <w:rPr>
          <w:b/>
          <w:bCs/>
          <w:sz w:val="20"/>
          <w:szCs w:val="20"/>
        </w:rPr>
        <w:tab/>
        <w:t>ё-mail: msef@mail.ru</w:t>
      </w:r>
      <w:bookmarkStart w:id="0" w:name="_GoBack"/>
      <w:bookmarkEnd w:id="0"/>
    </w:p>
    <w:sectPr w:rsidR="0074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03"/>
    <w:rsid w:val="000A0603"/>
    <w:rsid w:val="0074782B"/>
    <w:rsid w:val="00B8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B876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B876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8466</Characters>
  <Application>Microsoft Office Word</Application>
  <DocSecurity>0</DocSecurity>
  <Lines>70</Lines>
  <Paragraphs>19</Paragraphs>
  <ScaleCrop>false</ScaleCrop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2013-11-23T11:59:00Z</dcterms:created>
  <dcterms:modified xsi:type="dcterms:W3CDTF">2013-11-23T11:59:00Z</dcterms:modified>
</cp:coreProperties>
</file>